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DF57B" w14:textId="57F5ED73" w:rsidR="007C62D7" w:rsidRPr="009E31F5" w:rsidRDefault="007C62D7" w:rsidP="009E31F5">
      <w:pPr>
        <w:jc w:val="both"/>
        <w:rPr>
          <w:rFonts w:ascii="Arial" w:hAnsi="Arial" w:cs="Arial"/>
          <w:lang w:eastAsia="es-EC"/>
        </w:rPr>
      </w:pPr>
      <w:r w:rsidRPr="009E31F5">
        <w:rPr>
          <w:rFonts w:ascii="Arial" w:hAnsi="Arial" w:cs="Arial"/>
          <w:lang w:eastAsia="es-EC"/>
        </w:rPr>
        <w:t>PROYECTO DE REFORMA A LA ORDENANZA SUSTITUTIVA QUE REGULA LA ADMINISTRACIÓN, CONTROL Y RECAUDACIÓN DEL IMPUESTO DE PATENTES DEL GOBIERNO AUTÓNOMO DESCENTRALIZADO MUNICIPAL DEL CANTÓN LA JOYA DE LOS SACHAS</w:t>
      </w:r>
    </w:p>
    <w:p w14:paraId="198F3D2A" w14:textId="77777777" w:rsidR="007C62D7" w:rsidRPr="009E31F5" w:rsidRDefault="007C62D7" w:rsidP="009E31F5">
      <w:pPr>
        <w:jc w:val="both"/>
        <w:rPr>
          <w:rFonts w:ascii="Arial" w:hAnsi="Arial" w:cs="Arial"/>
          <w:lang w:eastAsia="es-EC"/>
        </w:rPr>
      </w:pPr>
      <w:r w:rsidRPr="009E31F5">
        <w:rPr>
          <w:rFonts w:ascii="Arial" w:hAnsi="Arial" w:cs="Arial"/>
          <w:lang w:eastAsia="es-EC"/>
        </w:rPr>
        <w:t>CONSIDERANDOS</w:t>
      </w:r>
    </w:p>
    <w:p w14:paraId="272A20B1" w14:textId="77777777" w:rsidR="007C62D7" w:rsidRPr="009E31F5" w:rsidRDefault="007C62D7" w:rsidP="009E31F5">
      <w:pPr>
        <w:jc w:val="both"/>
        <w:rPr>
          <w:rFonts w:ascii="Arial" w:hAnsi="Arial" w:cs="Arial"/>
          <w:lang w:eastAsia="es-EC"/>
        </w:rPr>
      </w:pPr>
      <w:r w:rsidRPr="009E31F5">
        <w:rPr>
          <w:rFonts w:ascii="Arial" w:hAnsi="Arial" w:cs="Arial"/>
          <w:lang w:eastAsia="es-EC"/>
        </w:rPr>
        <w:t>QUE, la Constitución de la República del Ecuador, en su Artículo 264, confiere a los gobiernos autónomos descentralizados municipales competencias para crear, modificar, suprimir o exonerar tasas y contribuciones especiales de mejoras, dentro de los límites de la ley;</w:t>
      </w:r>
    </w:p>
    <w:p w14:paraId="1634F521" w14:textId="77777777" w:rsidR="007C62D7" w:rsidRPr="009E31F5" w:rsidRDefault="007C62D7" w:rsidP="009E31F5">
      <w:pPr>
        <w:jc w:val="both"/>
        <w:rPr>
          <w:rFonts w:ascii="Arial" w:hAnsi="Arial" w:cs="Arial"/>
          <w:lang w:eastAsia="es-EC"/>
        </w:rPr>
      </w:pPr>
      <w:r w:rsidRPr="009E31F5">
        <w:rPr>
          <w:rFonts w:ascii="Arial" w:hAnsi="Arial" w:cs="Arial"/>
          <w:lang w:eastAsia="es-EC"/>
        </w:rPr>
        <w:t xml:space="preserve">QUE, con fecha 13 de enero de 2025, se publicó en el Registro Oficial, Edición Especial </w:t>
      </w:r>
      <w:proofErr w:type="spellStart"/>
      <w:r w:rsidRPr="009E31F5">
        <w:rPr>
          <w:rFonts w:ascii="Arial" w:hAnsi="Arial" w:cs="Arial"/>
          <w:lang w:eastAsia="es-EC"/>
        </w:rPr>
        <w:t>Nº</w:t>
      </w:r>
      <w:proofErr w:type="spellEnd"/>
      <w:r w:rsidRPr="009E31F5">
        <w:rPr>
          <w:rFonts w:ascii="Arial" w:hAnsi="Arial" w:cs="Arial"/>
          <w:lang w:eastAsia="es-EC"/>
        </w:rPr>
        <w:t xml:space="preserve"> 2004, la Ordenanza Sustitutiva que Regula la Administración, Control y Recaudación del Impuesto de Patentes del Gobierno Autónomo Descentralizado Municipal del Cantón La Joya de los Sachas;</w:t>
      </w:r>
    </w:p>
    <w:p w14:paraId="08ACA9C4" w14:textId="77777777" w:rsidR="007C62D7" w:rsidRPr="009E31F5" w:rsidRDefault="007C62D7" w:rsidP="009E31F5">
      <w:pPr>
        <w:jc w:val="both"/>
        <w:rPr>
          <w:rFonts w:ascii="Arial" w:hAnsi="Arial" w:cs="Arial"/>
          <w:lang w:eastAsia="es-EC"/>
        </w:rPr>
      </w:pPr>
      <w:r w:rsidRPr="009E31F5">
        <w:rPr>
          <w:rFonts w:ascii="Arial" w:hAnsi="Arial" w:cs="Arial"/>
          <w:lang w:eastAsia="es-EC"/>
        </w:rPr>
        <w:t>QUE, es necesario optimizar la gestión y recaudación de este impuesto, adaptando los plazos de declaración y pago a la realidad de los contribuyentes, especialmente de aquellos obligados a llevar contabilidad, para evitar duplicidad de esfuerzos y facilitar el cumplimiento de sus obligaciones tributarias;</w:t>
      </w:r>
    </w:p>
    <w:p w14:paraId="62F96F36" w14:textId="77777777" w:rsidR="007C62D7" w:rsidRPr="009E31F5" w:rsidRDefault="007C62D7" w:rsidP="009E31F5">
      <w:pPr>
        <w:jc w:val="both"/>
        <w:rPr>
          <w:rFonts w:ascii="Arial" w:hAnsi="Arial" w:cs="Arial"/>
          <w:lang w:eastAsia="es-EC"/>
        </w:rPr>
      </w:pPr>
      <w:r w:rsidRPr="009E31F5">
        <w:rPr>
          <w:rFonts w:ascii="Arial" w:hAnsi="Arial" w:cs="Arial"/>
          <w:lang w:eastAsia="es-EC"/>
        </w:rPr>
        <w:t>QUE, la actual tabla de tarifas del impuesto de patente no es lo suficientemente progresiva, lo que amerita una revisión y simplificación para garantizar un cobro más equitativo y acorde a la capacidad económica de los contribuyentes, favoreciendo el desarrollo de las micro y pequeñas empresas sin descuidar la responsabilidad fiscal de los grandes contribuyentes;</w:t>
      </w:r>
    </w:p>
    <w:p w14:paraId="162C4E80" w14:textId="77777777" w:rsidR="007C62D7" w:rsidRPr="009E31F5" w:rsidRDefault="007C62D7" w:rsidP="009E31F5">
      <w:pPr>
        <w:jc w:val="both"/>
        <w:rPr>
          <w:rFonts w:ascii="Arial" w:hAnsi="Arial" w:cs="Arial"/>
          <w:lang w:eastAsia="es-EC"/>
        </w:rPr>
      </w:pPr>
      <w:r w:rsidRPr="009E31F5">
        <w:rPr>
          <w:rFonts w:ascii="Arial" w:hAnsi="Arial" w:cs="Arial"/>
          <w:lang w:eastAsia="es-EC"/>
        </w:rPr>
        <w:t>EN USO de sus facultades legales, el Concejo Municipal del Cantón La Joya de los Sachas expide la siguiente:</w:t>
      </w:r>
    </w:p>
    <w:p w14:paraId="02471B17" w14:textId="10A33417" w:rsidR="007C62D7" w:rsidRPr="009E31F5" w:rsidRDefault="007C62D7" w:rsidP="009E31F5">
      <w:pPr>
        <w:jc w:val="both"/>
        <w:rPr>
          <w:rFonts w:ascii="Arial" w:hAnsi="Arial" w:cs="Arial"/>
          <w:lang w:eastAsia="es-EC"/>
        </w:rPr>
      </w:pPr>
      <w:r w:rsidRPr="009E31F5">
        <w:rPr>
          <w:rFonts w:ascii="Arial" w:hAnsi="Arial" w:cs="Arial"/>
          <w:lang w:eastAsia="es-EC"/>
        </w:rPr>
        <w:t>REFORMA A LA ORDENANZA SUSTITUTIVA QUE REGULA LA ADMINISTRACIÓN, CONTROL Y RECAUDACIÓN DEL IMPUESTO DE PATENTES DEL GOBIERNO AUTÓNOMO DESCENTRALIZADO MUNICIPAL DEL CANTÓN LA JOYA DE LOS SACHAS.</w:t>
      </w:r>
    </w:p>
    <w:p w14:paraId="7CE6F50D" w14:textId="77777777" w:rsidR="007C62D7" w:rsidRPr="009E31F5" w:rsidRDefault="007C62D7" w:rsidP="009E31F5">
      <w:pPr>
        <w:jc w:val="both"/>
        <w:rPr>
          <w:rFonts w:ascii="Arial" w:hAnsi="Arial" w:cs="Arial"/>
          <w:lang w:eastAsia="es-EC"/>
        </w:rPr>
      </w:pPr>
      <w:r w:rsidRPr="009E31F5">
        <w:rPr>
          <w:rFonts w:ascii="Arial" w:hAnsi="Arial" w:cs="Arial"/>
          <w:lang w:eastAsia="es-EC"/>
        </w:rPr>
        <w:t>ARTÍCULO ÚNICO: Refórmense los artículos 15 y 18 de la ordenanza antes referida, por los siguientes textos:</w:t>
      </w:r>
    </w:p>
    <w:p w14:paraId="435400AA" w14:textId="77777777" w:rsidR="007C62D7" w:rsidRPr="009E31F5" w:rsidRDefault="007C62D7" w:rsidP="009E31F5">
      <w:pPr>
        <w:jc w:val="both"/>
        <w:rPr>
          <w:rFonts w:ascii="Arial" w:hAnsi="Arial" w:cs="Arial"/>
          <w:lang w:eastAsia="es-EC"/>
        </w:rPr>
      </w:pPr>
      <w:r w:rsidRPr="009E31F5">
        <w:rPr>
          <w:rFonts w:ascii="Arial" w:hAnsi="Arial" w:cs="Arial"/>
          <w:lang w:eastAsia="es-EC"/>
        </w:rPr>
        <w:t>1. Sustitúyase el artículo 15 por el siguiente:</w:t>
      </w:r>
    </w:p>
    <w:p w14:paraId="08AA5DCA" w14:textId="77777777" w:rsidR="007C62D7" w:rsidRPr="009E31F5" w:rsidRDefault="007C62D7" w:rsidP="009E31F5">
      <w:pPr>
        <w:jc w:val="both"/>
        <w:rPr>
          <w:rFonts w:ascii="Arial" w:hAnsi="Arial" w:cs="Arial"/>
          <w:lang w:eastAsia="es-EC"/>
        </w:rPr>
      </w:pPr>
      <w:r w:rsidRPr="009E31F5">
        <w:rPr>
          <w:rFonts w:ascii="Arial" w:hAnsi="Arial" w:cs="Arial"/>
          <w:lang w:eastAsia="es-EC"/>
        </w:rPr>
        <w:t>“Art. 15.- Plazos para la declaración y pago del Impuesto. Para las personas no obligadas a llevar contabilidad, el plazo para la declaración y pago del impuesto de la patente municipal es de 30 días contados desde el día siguiente del mes en que inicia la actividad económica, o hasta el 30 de enero de cada año en los casos de actividades económicas en ejercicio, de conformidad con el Art. 548 del COOTAD. El incumplimiento de esta norma se sancionará con multa, de acuerdo con lo establecido en esta ordenanza.</w:t>
      </w:r>
    </w:p>
    <w:p w14:paraId="0ADCD4AB" w14:textId="77777777" w:rsidR="007C62D7" w:rsidRPr="009E31F5" w:rsidRDefault="007C62D7" w:rsidP="009E31F5">
      <w:pPr>
        <w:jc w:val="both"/>
        <w:rPr>
          <w:rFonts w:ascii="Arial" w:hAnsi="Arial" w:cs="Arial"/>
          <w:lang w:eastAsia="es-EC"/>
        </w:rPr>
      </w:pPr>
      <w:r w:rsidRPr="009E31F5">
        <w:rPr>
          <w:rFonts w:ascii="Arial" w:hAnsi="Arial" w:cs="Arial"/>
          <w:lang w:eastAsia="es-EC"/>
        </w:rPr>
        <w:t>Sin embargo, para las personas naturales y jurídicas obligadas a llevar contabilidad, el plazo para el pago de la patente municipal será hasta el 30 de mayo de cada año fiscal, sin que hasta esta fecha se generen intereses o recargos, a fin de armonizar los plazos con las declaraciones que deben realizar ante el Servicio de Rentas Internas.”</w:t>
      </w:r>
    </w:p>
    <w:p w14:paraId="54D76622" w14:textId="77777777" w:rsidR="007C62D7" w:rsidRPr="009E31F5" w:rsidRDefault="007C62D7" w:rsidP="009E31F5">
      <w:pPr>
        <w:jc w:val="both"/>
        <w:rPr>
          <w:rFonts w:ascii="Arial" w:hAnsi="Arial" w:cs="Arial"/>
          <w:lang w:eastAsia="es-EC"/>
        </w:rPr>
      </w:pPr>
      <w:r w:rsidRPr="009E31F5">
        <w:rPr>
          <w:rFonts w:ascii="Arial" w:hAnsi="Arial" w:cs="Arial"/>
          <w:lang w:eastAsia="es-EC"/>
        </w:rPr>
        <w:t>2. Sustitúyase el artículo 18 por el siguiente:</w:t>
      </w:r>
    </w:p>
    <w:p w14:paraId="6676012A" w14:textId="77777777" w:rsidR="007C62D7" w:rsidRPr="009E31F5" w:rsidRDefault="007C62D7" w:rsidP="009E31F5">
      <w:pPr>
        <w:jc w:val="both"/>
        <w:rPr>
          <w:rFonts w:ascii="Arial" w:hAnsi="Arial" w:cs="Arial"/>
          <w:lang w:eastAsia="es-EC"/>
        </w:rPr>
      </w:pPr>
      <w:r w:rsidRPr="009E31F5">
        <w:rPr>
          <w:rFonts w:ascii="Arial" w:hAnsi="Arial" w:cs="Arial"/>
          <w:lang w:eastAsia="es-EC"/>
        </w:rPr>
        <w:lastRenderedPageBreak/>
        <w:t>“Art. 18.- Tarifa de la patente. Sobre la base imponible se aplicará la tarifa de acuerdo con la siguiente escala:</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701"/>
        <w:gridCol w:w="1701"/>
      </w:tblGrid>
      <w:tr w:rsidR="007C62D7" w:rsidRPr="009E31F5" w14:paraId="4EBAF0E9" w14:textId="77777777" w:rsidTr="004E1E71">
        <w:trPr>
          <w:trHeight w:val="237"/>
        </w:trPr>
        <w:tc>
          <w:tcPr>
            <w:tcW w:w="3539" w:type="dxa"/>
            <w:gridSpan w:val="2"/>
            <w:shd w:val="clear" w:color="auto" w:fill="auto"/>
          </w:tcPr>
          <w:p w14:paraId="6B5B9C8C" w14:textId="77777777" w:rsidR="007C62D7" w:rsidRPr="009E31F5" w:rsidRDefault="007C62D7" w:rsidP="009E31F5">
            <w:pPr>
              <w:jc w:val="both"/>
              <w:rPr>
                <w:rStyle w:val="nfasis"/>
                <w:rFonts w:ascii="Arial" w:hAnsi="Arial" w:cs="Arial"/>
                <w:b/>
                <w:i w:val="0"/>
                <w:color w:val="222222"/>
              </w:rPr>
            </w:pPr>
            <w:r w:rsidRPr="009E31F5">
              <w:rPr>
                <w:rStyle w:val="nfasis"/>
                <w:rFonts w:ascii="Arial" w:hAnsi="Arial" w:cs="Arial"/>
                <w:b/>
                <w:color w:val="222222"/>
              </w:rPr>
              <w:t>BASE IMPONIBLE EN DOLARES</w:t>
            </w:r>
          </w:p>
        </w:tc>
        <w:tc>
          <w:tcPr>
            <w:tcW w:w="1701" w:type="dxa"/>
          </w:tcPr>
          <w:p w14:paraId="34918C2A" w14:textId="77777777" w:rsidR="007C62D7" w:rsidRPr="009E31F5" w:rsidRDefault="007C62D7" w:rsidP="009E31F5">
            <w:pPr>
              <w:jc w:val="both"/>
              <w:rPr>
                <w:rStyle w:val="nfasis"/>
                <w:rFonts w:ascii="Arial" w:hAnsi="Arial" w:cs="Arial"/>
                <w:b/>
                <w:i w:val="0"/>
                <w:color w:val="222222"/>
              </w:rPr>
            </w:pPr>
            <w:r w:rsidRPr="009E31F5">
              <w:rPr>
                <w:rStyle w:val="nfasis"/>
                <w:rFonts w:ascii="Arial" w:hAnsi="Arial" w:cs="Arial"/>
                <w:b/>
                <w:color w:val="222222"/>
              </w:rPr>
              <w:t>TARIFA</w:t>
            </w:r>
          </w:p>
        </w:tc>
      </w:tr>
      <w:tr w:rsidR="007C62D7" w:rsidRPr="009E31F5" w14:paraId="145E6B5A" w14:textId="77777777" w:rsidTr="004E1E71">
        <w:trPr>
          <w:trHeight w:val="237"/>
        </w:trPr>
        <w:tc>
          <w:tcPr>
            <w:tcW w:w="1838" w:type="dxa"/>
            <w:shd w:val="clear" w:color="auto" w:fill="auto"/>
          </w:tcPr>
          <w:p w14:paraId="74B909AF" w14:textId="77777777" w:rsidR="007C62D7" w:rsidRPr="009E31F5" w:rsidRDefault="007C62D7" w:rsidP="009E31F5">
            <w:pPr>
              <w:jc w:val="both"/>
              <w:rPr>
                <w:rStyle w:val="nfasis"/>
                <w:rFonts w:ascii="Arial" w:hAnsi="Arial" w:cs="Arial"/>
                <w:b/>
                <w:i w:val="0"/>
                <w:color w:val="222222"/>
              </w:rPr>
            </w:pPr>
            <w:r w:rsidRPr="009E31F5">
              <w:rPr>
                <w:rStyle w:val="nfasis"/>
                <w:rFonts w:ascii="Arial" w:hAnsi="Arial" w:cs="Arial"/>
                <w:b/>
                <w:color w:val="222222"/>
              </w:rPr>
              <w:t>DESDE</w:t>
            </w:r>
          </w:p>
        </w:tc>
        <w:tc>
          <w:tcPr>
            <w:tcW w:w="1701" w:type="dxa"/>
            <w:shd w:val="clear" w:color="auto" w:fill="auto"/>
          </w:tcPr>
          <w:p w14:paraId="79B5861E" w14:textId="77777777" w:rsidR="007C62D7" w:rsidRPr="009E31F5" w:rsidRDefault="007C62D7" w:rsidP="009E31F5">
            <w:pPr>
              <w:jc w:val="both"/>
              <w:rPr>
                <w:rStyle w:val="nfasis"/>
                <w:rFonts w:ascii="Arial" w:hAnsi="Arial" w:cs="Arial"/>
                <w:b/>
                <w:i w:val="0"/>
                <w:color w:val="222222"/>
              </w:rPr>
            </w:pPr>
            <w:r w:rsidRPr="009E31F5">
              <w:rPr>
                <w:rStyle w:val="nfasis"/>
                <w:rFonts w:ascii="Arial" w:hAnsi="Arial" w:cs="Arial"/>
                <w:b/>
                <w:color w:val="222222"/>
              </w:rPr>
              <w:t>HASTA</w:t>
            </w:r>
          </w:p>
        </w:tc>
        <w:tc>
          <w:tcPr>
            <w:tcW w:w="1701" w:type="dxa"/>
          </w:tcPr>
          <w:p w14:paraId="43E71D5E" w14:textId="77777777" w:rsidR="007C62D7" w:rsidRPr="009E31F5" w:rsidRDefault="007C62D7" w:rsidP="009E31F5">
            <w:pPr>
              <w:jc w:val="both"/>
              <w:rPr>
                <w:rStyle w:val="nfasis"/>
                <w:rFonts w:ascii="Arial" w:hAnsi="Arial" w:cs="Arial"/>
                <w:b/>
                <w:i w:val="0"/>
                <w:color w:val="222222"/>
              </w:rPr>
            </w:pPr>
          </w:p>
        </w:tc>
      </w:tr>
      <w:tr w:rsidR="007C62D7" w:rsidRPr="009E31F5" w14:paraId="63E9C317" w14:textId="77777777" w:rsidTr="004E1E71">
        <w:trPr>
          <w:trHeight w:val="237"/>
        </w:trPr>
        <w:tc>
          <w:tcPr>
            <w:tcW w:w="1838" w:type="dxa"/>
            <w:shd w:val="clear" w:color="auto" w:fill="auto"/>
          </w:tcPr>
          <w:p w14:paraId="05492B20" w14:textId="77777777" w:rsidR="007C62D7" w:rsidRPr="009E31F5" w:rsidRDefault="007C62D7" w:rsidP="009E31F5">
            <w:pPr>
              <w:jc w:val="both"/>
              <w:rPr>
                <w:rStyle w:val="nfasis"/>
                <w:rFonts w:ascii="Arial" w:hAnsi="Arial" w:cs="Arial"/>
                <w:i w:val="0"/>
                <w:color w:val="222222"/>
              </w:rPr>
            </w:pPr>
            <w:r w:rsidRPr="009E31F5">
              <w:rPr>
                <w:rStyle w:val="nfasis"/>
                <w:rFonts w:ascii="Arial" w:hAnsi="Arial" w:cs="Arial"/>
                <w:color w:val="222222"/>
              </w:rPr>
              <w:t>1,00</w:t>
            </w:r>
          </w:p>
        </w:tc>
        <w:tc>
          <w:tcPr>
            <w:tcW w:w="1701" w:type="dxa"/>
            <w:shd w:val="clear" w:color="auto" w:fill="auto"/>
          </w:tcPr>
          <w:p w14:paraId="63080C6A" w14:textId="77777777" w:rsidR="007C62D7" w:rsidRPr="009E31F5" w:rsidRDefault="007C62D7" w:rsidP="009E31F5">
            <w:pPr>
              <w:jc w:val="both"/>
              <w:rPr>
                <w:rStyle w:val="nfasis"/>
                <w:rFonts w:ascii="Arial" w:hAnsi="Arial" w:cs="Arial"/>
                <w:i w:val="0"/>
                <w:color w:val="222222"/>
              </w:rPr>
            </w:pPr>
            <w:r w:rsidRPr="009E31F5">
              <w:rPr>
                <w:rStyle w:val="nfasis"/>
                <w:rFonts w:ascii="Arial" w:hAnsi="Arial" w:cs="Arial"/>
                <w:color w:val="222222"/>
              </w:rPr>
              <w:t>2.000,00</w:t>
            </w:r>
          </w:p>
        </w:tc>
        <w:tc>
          <w:tcPr>
            <w:tcW w:w="1701" w:type="dxa"/>
          </w:tcPr>
          <w:p w14:paraId="46D13BA3" w14:textId="0E616FF3" w:rsidR="007C62D7" w:rsidRPr="009E31F5" w:rsidRDefault="007C62D7" w:rsidP="009E31F5">
            <w:pPr>
              <w:jc w:val="both"/>
              <w:rPr>
                <w:rStyle w:val="nfasis"/>
                <w:rFonts w:ascii="Arial" w:hAnsi="Arial" w:cs="Arial"/>
                <w:i w:val="0"/>
                <w:color w:val="222222"/>
              </w:rPr>
            </w:pPr>
            <w:r w:rsidRPr="009E31F5">
              <w:rPr>
                <w:rStyle w:val="nfasis"/>
                <w:rFonts w:ascii="Arial" w:hAnsi="Arial" w:cs="Arial"/>
                <w:color w:val="222222"/>
              </w:rPr>
              <w:t>$. 10,00</w:t>
            </w:r>
          </w:p>
        </w:tc>
      </w:tr>
      <w:tr w:rsidR="007C62D7" w:rsidRPr="009E31F5" w14:paraId="5473F455" w14:textId="77777777" w:rsidTr="004E1E71">
        <w:trPr>
          <w:trHeight w:val="237"/>
        </w:trPr>
        <w:tc>
          <w:tcPr>
            <w:tcW w:w="1838" w:type="dxa"/>
            <w:shd w:val="clear" w:color="auto" w:fill="auto"/>
          </w:tcPr>
          <w:p w14:paraId="19EE3242" w14:textId="77777777" w:rsidR="007C62D7" w:rsidRPr="009E31F5" w:rsidRDefault="007C62D7" w:rsidP="009E31F5">
            <w:pPr>
              <w:jc w:val="both"/>
              <w:rPr>
                <w:rStyle w:val="nfasis"/>
                <w:rFonts w:ascii="Arial" w:hAnsi="Arial" w:cs="Arial"/>
                <w:i w:val="0"/>
                <w:color w:val="222222"/>
              </w:rPr>
            </w:pPr>
            <w:r w:rsidRPr="009E31F5">
              <w:rPr>
                <w:rStyle w:val="nfasis"/>
                <w:rFonts w:ascii="Arial" w:hAnsi="Arial" w:cs="Arial"/>
                <w:color w:val="222222"/>
              </w:rPr>
              <w:t>2.001,00</w:t>
            </w:r>
          </w:p>
        </w:tc>
        <w:tc>
          <w:tcPr>
            <w:tcW w:w="1701" w:type="dxa"/>
            <w:shd w:val="clear" w:color="auto" w:fill="auto"/>
          </w:tcPr>
          <w:p w14:paraId="620ACCD7" w14:textId="77777777" w:rsidR="007C62D7" w:rsidRPr="009E31F5" w:rsidRDefault="007C62D7" w:rsidP="009E31F5">
            <w:pPr>
              <w:jc w:val="both"/>
              <w:rPr>
                <w:rStyle w:val="nfasis"/>
                <w:rFonts w:ascii="Arial" w:hAnsi="Arial" w:cs="Arial"/>
                <w:i w:val="0"/>
                <w:color w:val="222222"/>
              </w:rPr>
            </w:pPr>
            <w:r w:rsidRPr="009E31F5">
              <w:rPr>
                <w:rStyle w:val="nfasis"/>
                <w:rFonts w:ascii="Arial" w:hAnsi="Arial" w:cs="Arial"/>
                <w:color w:val="222222"/>
              </w:rPr>
              <w:t>4.000,00</w:t>
            </w:r>
          </w:p>
        </w:tc>
        <w:tc>
          <w:tcPr>
            <w:tcW w:w="1701" w:type="dxa"/>
          </w:tcPr>
          <w:p w14:paraId="53613D27" w14:textId="77777777" w:rsidR="007C62D7" w:rsidRPr="009E31F5" w:rsidRDefault="007C62D7" w:rsidP="009E31F5">
            <w:pPr>
              <w:jc w:val="both"/>
              <w:rPr>
                <w:rStyle w:val="nfasis"/>
                <w:rFonts w:ascii="Arial" w:hAnsi="Arial" w:cs="Arial"/>
                <w:i w:val="0"/>
                <w:color w:val="222222"/>
              </w:rPr>
            </w:pPr>
            <w:r w:rsidRPr="009E31F5">
              <w:rPr>
                <w:rStyle w:val="nfasis"/>
                <w:rFonts w:ascii="Arial" w:hAnsi="Arial" w:cs="Arial"/>
                <w:color w:val="222222"/>
              </w:rPr>
              <w:t>0,50%</w:t>
            </w:r>
          </w:p>
        </w:tc>
      </w:tr>
      <w:tr w:rsidR="007C62D7" w:rsidRPr="009E31F5" w14:paraId="01A723ED" w14:textId="77777777" w:rsidTr="004E1E71">
        <w:trPr>
          <w:trHeight w:val="237"/>
        </w:trPr>
        <w:tc>
          <w:tcPr>
            <w:tcW w:w="1838" w:type="dxa"/>
            <w:shd w:val="clear" w:color="auto" w:fill="auto"/>
          </w:tcPr>
          <w:p w14:paraId="7F7141AF" w14:textId="07809E12" w:rsidR="007C62D7" w:rsidRPr="009E31F5" w:rsidRDefault="007C62D7" w:rsidP="009E31F5">
            <w:pPr>
              <w:jc w:val="both"/>
              <w:rPr>
                <w:rStyle w:val="nfasis"/>
                <w:rFonts w:ascii="Arial" w:hAnsi="Arial" w:cs="Arial"/>
                <w:i w:val="0"/>
                <w:color w:val="222222"/>
              </w:rPr>
            </w:pPr>
            <w:r w:rsidRPr="009E31F5">
              <w:rPr>
                <w:rStyle w:val="nfasis"/>
                <w:rFonts w:ascii="Arial" w:hAnsi="Arial" w:cs="Arial"/>
                <w:color w:val="222222"/>
              </w:rPr>
              <w:t>4.001,00</w:t>
            </w:r>
          </w:p>
        </w:tc>
        <w:tc>
          <w:tcPr>
            <w:tcW w:w="1701" w:type="dxa"/>
            <w:shd w:val="clear" w:color="auto" w:fill="auto"/>
          </w:tcPr>
          <w:p w14:paraId="36F1CA7D" w14:textId="77777777" w:rsidR="007C62D7" w:rsidRPr="009E31F5" w:rsidRDefault="007C62D7" w:rsidP="009E31F5">
            <w:pPr>
              <w:jc w:val="both"/>
              <w:rPr>
                <w:rStyle w:val="nfasis"/>
                <w:rFonts w:ascii="Arial" w:hAnsi="Arial" w:cs="Arial"/>
                <w:i w:val="0"/>
                <w:color w:val="222222"/>
              </w:rPr>
            </w:pPr>
            <w:r w:rsidRPr="009E31F5">
              <w:rPr>
                <w:rStyle w:val="nfasis"/>
                <w:rFonts w:ascii="Arial" w:hAnsi="Arial" w:cs="Arial"/>
                <w:color w:val="222222"/>
              </w:rPr>
              <w:t>6.000,00</w:t>
            </w:r>
          </w:p>
        </w:tc>
        <w:tc>
          <w:tcPr>
            <w:tcW w:w="1701" w:type="dxa"/>
          </w:tcPr>
          <w:p w14:paraId="74F1F73F" w14:textId="77777777" w:rsidR="007C62D7" w:rsidRPr="009E31F5" w:rsidRDefault="007C62D7" w:rsidP="009E31F5">
            <w:pPr>
              <w:jc w:val="both"/>
              <w:rPr>
                <w:rStyle w:val="nfasis"/>
                <w:rFonts w:ascii="Arial" w:hAnsi="Arial" w:cs="Arial"/>
                <w:i w:val="0"/>
                <w:color w:val="222222"/>
              </w:rPr>
            </w:pPr>
            <w:r w:rsidRPr="009E31F5">
              <w:rPr>
                <w:rStyle w:val="nfasis"/>
                <w:rFonts w:ascii="Arial" w:hAnsi="Arial" w:cs="Arial"/>
                <w:color w:val="222222"/>
              </w:rPr>
              <w:t>0,75%</w:t>
            </w:r>
          </w:p>
        </w:tc>
      </w:tr>
      <w:tr w:rsidR="007C62D7" w:rsidRPr="009E31F5" w14:paraId="28C289EB" w14:textId="77777777" w:rsidTr="004E1E71">
        <w:trPr>
          <w:trHeight w:val="237"/>
        </w:trPr>
        <w:tc>
          <w:tcPr>
            <w:tcW w:w="1838" w:type="dxa"/>
            <w:shd w:val="clear" w:color="auto" w:fill="auto"/>
          </w:tcPr>
          <w:p w14:paraId="0419EE47" w14:textId="77777777" w:rsidR="007C62D7" w:rsidRPr="009E31F5" w:rsidRDefault="007C62D7" w:rsidP="009E31F5">
            <w:pPr>
              <w:jc w:val="both"/>
              <w:rPr>
                <w:rStyle w:val="nfasis"/>
                <w:rFonts w:ascii="Arial" w:hAnsi="Arial" w:cs="Arial"/>
                <w:i w:val="0"/>
                <w:color w:val="222222"/>
              </w:rPr>
            </w:pPr>
            <w:r w:rsidRPr="009E31F5">
              <w:rPr>
                <w:rStyle w:val="nfasis"/>
                <w:rFonts w:ascii="Arial" w:hAnsi="Arial" w:cs="Arial"/>
                <w:color w:val="222222"/>
              </w:rPr>
              <w:t>6.001,00</w:t>
            </w:r>
          </w:p>
        </w:tc>
        <w:tc>
          <w:tcPr>
            <w:tcW w:w="1701" w:type="dxa"/>
            <w:shd w:val="clear" w:color="auto" w:fill="auto"/>
          </w:tcPr>
          <w:p w14:paraId="71D6CF97" w14:textId="77777777" w:rsidR="007C62D7" w:rsidRPr="009E31F5" w:rsidRDefault="007C62D7" w:rsidP="009E31F5">
            <w:pPr>
              <w:jc w:val="both"/>
              <w:rPr>
                <w:rStyle w:val="nfasis"/>
                <w:rFonts w:ascii="Arial" w:hAnsi="Arial" w:cs="Arial"/>
                <w:i w:val="0"/>
                <w:color w:val="222222"/>
              </w:rPr>
            </w:pPr>
            <w:r w:rsidRPr="009E31F5">
              <w:rPr>
                <w:rStyle w:val="nfasis"/>
                <w:rFonts w:ascii="Arial" w:hAnsi="Arial" w:cs="Arial"/>
                <w:color w:val="222222"/>
              </w:rPr>
              <w:t>2.000.000,00</w:t>
            </w:r>
          </w:p>
        </w:tc>
        <w:tc>
          <w:tcPr>
            <w:tcW w:w="1701" w:type="dxa"/>
          </w:tcPr>
          <w:p w14:paraId="58E6C93A" w14:textId="77777777" w:rsidR="007C62D7" w:rsidRPr="009E31F5" w:rsidRDefault="007C62D7" w:rsidP="009E31F5">
            <w:pPr>
              <w:jc w:val="both"/>
              <w:rPr>
                <w:rStyle w:val="nfasis"/>
                <w:rFonts w:ascii="Arial" w:hAnsi="Arial" w:cs="Arial"/>
                <w:i w:val="0"/>
                <w:color w:val="222222"/>
              </w:rPr>
            </w:pPr>
            <w:r w:rsidRPr="009E31F5">
              <w:rPr>
                <w:rStyle w:val="nfasis"/>
                <w:rFonts w:ascii="Arial" w:hAnsi="Arial" w:cs="Arial"/>
                <w:color w:val="222222"/>
              </w:rPr>
              <w:t>1,00%</w:t>
            </w:r>
          </w:p>
        </w:tc>
      </w:tr>
      <w:tr w:rsidR="007C62D7" w:rsidRPr="009E31F5" w14:paraId="666F3D66" w14:textId="77777777" w:rsidTr="004E1E71">
        <w:trPr>
          <w:trHeight w:val="237"/>
        </w:trPr>
        <w:tc>
          <w:tcPr>
            <w:tcW w:w="1838" w:type="dxa"/>
            <w:shd w:val="clear" w:color="auto" w:fill="auto"/>
          </w:tcPr>
          <w:p w14:paraId="4A31B9AA" w14:textId="77777777" w:rsidR="007C62D7" w:rsidRPr="009E31F5" w:rsidRDefault="007C62D7" w:rsidP="009E31F5">
            <w:pPr>
              <w:jc w:val="both"/>
              <w:rPr>
                <w:rStyle w:val="nfasis"/>
                <w:rFonts w:ascii="Arial" w:hAnsi="Arial" w:cs="Arial"/>
                <w:i w:val="0"/>
                <w:color w:val="222222"/>
              </w:rPr>
            </w:pPr>
            <w:r w:rsidRPr="009E31F5">
              <w:rPr>
                <w:rStyle w:val="nfasis"/>
                <w:rFonts w:ascii="Arial" w:hAnsi="Arial" w:cs="Arial"/>
                <w:color w:val="222222"/>
              </w:rPr>
              <w:t>2.000.001,00</w:t>
            </w:r>
          </w:p>
        </w:tc>
        <w:tc>
          <w:tcPr>
            <w:tcW w:w="1701" w:type="dxa"/>
            <w:shd w:val="clear" w:color="auto" w:fill="auto"/>
          </w:tcPr>
          <w:p w14:paraId="70AC788F" w14:textId="77777777" w:rsidR="007C62D7" w:rsidRPr="009E31F5" w:rsidRDefault="007C62D7" w:rsidP="009E31F5">
            <w:pPr>
              <w:jc w:val="both"/>
              <w:rPr>
                <w:rStyle w:val="nfasis"/>
                <w:rFonts w:ascii="Arial" w:hAnsi="Arial" w:cs="Arial"/>
                <w:i w:val="0"/>
                <w:color w:val="222222"/>
              </w:rPr>
            </w:pPr>
            <w:r w:rsidRPr="009E31F5">
              <w:rPr>
                <w:rStyle w:val="nfasis"/>
                <w:rFonts w:ascii="Arial" w:hAnsi="Arial" w:cs="Arial"/>
                <w:color w:val="222222"/>
              </w:rPr>
              <w:t>ADELANTE</w:t>
            </w:r>
          </w:p>
        </w:tc>
        <w:tc>
          <w:tcPr>
            <w:tcW w:w="1701" w:type="dxa"/>
          </w:tcPr>
          <w:p w14:paraId="239A02EF" w14:textId="77777777" w:rsidR="007C62D7" w:rsidRPr="009E31F5" w:rsidRDefault="007C62D7" w:rsidP="009E31F5">
            <w:pPr>
              <w:jc w:val="both"/>
              <w:rPr>
                <w:rStyle w:val="nfasis"/>
                <w:rFonts w:ascii="Arial" w:hAnsi="Arial" w:cs="Arial"/>
                <w:i w:val="0"/>
                <w:color w:val="222222"/>
              </w:rPr>
            </w:pPr>
            <w:r w:rsidRPr="009E31F5">
              <w:rPr>
                <w:rStyle w:val="nfasis"/>
                <w:rFonts w:ascii="Arial" w:hAnsi="Arial" w:cs="Arial"/>
                <w:color w:val="222222"/>
              </w:rPr>
              <w:t>$.     25.000,00</w:t>
            </w:r>
          </w:p>
        </w:tc>
      </w:tr>
    </w:tbl>
    <w:p w14:paraId="26782CCE" w14:textId="77777777" w:rsidR="007C62D7" w:rsidRPr="009E31F5" w:rsidRDefault="007C62D7" w:rsidP="009E31F5">
      <w:pPr>
        <w:jc w:val="both"/>
        <w:rPr>
          <w:rFonts w:ascii="Arial" w:hAnsi="Arial" w:cs="Arial"/>
          <w:lang w:eastAsia="es-EC"/>
        </w:rPr>
      </w:pPr>
    </w:p>
    <w:p w14:paraId="355159A5" w14:textId="77777777" w:rsidR="007C62D7" w:rsidRPr="009E31F5" w:rsidRDefault="007C62D7" w:rsidP="009E31F5">
      <w:pPr>
        <w:jc w:val="both"/>
        <w:rPr>
          <w:rFonts w:ascii="Arial" w:hAnsi="Arial" w:cs="Arial"/>
          <w:lang w:eastAsia="es-EC"/>
        </w:rPr>
      </w:pPr>
    </w:p>
    <w:p w14:paraId="5BCD0E22" w14:textId="77777777" w:rsidR="007C62D7" w:rsidRPr="009E31F5" w:rsidRDefault="007C62D7" w:rsidP="009E31F5">
      <w:pPr>
        <w:jc w:val="both"/>
        <w:rPr>
          <w:rFonts w:ascii="Arial" w:hAnsi="Arial" w:cs="Arial"/>
          <w:lang w:eastAsia="es-EC"/>
        </w:rPr>
      </w:pPr>
    </w:p>
    <w:p w14:paraId="0456ABEA" w14:textId="77777777" w:rsidR="007C62D7" w:rsidRPr="009E31F5" w:rsidRDefault="007C62D7" w:rsidP="009E31F5">
      <w:pPr>
        <w:jc w:val="both"/>
        <w:rPr>
          <w:rFonts w:ascii="Arial" w:hAnsi="Arial" w:cs="Arial"/>
          <w:lang w:eastAsia="es-EC"/>
        </w:rPr>
      </w:pPr>
    </w:p>
    <w:p w14:paraId="53A52C8C" w14:textId="77777777" w:rsidR="009E31F5" w:rsidRDefault="009E31F5" w:rsidP="009E31F5">
      <w:pPr>
        <w:jc w:val="both"/>
        <w:rPr>
          <w:rFonts w:ascii="Arial" w:hAnsi="Arial" w:cs="Arial"/>
          <w:lang w:eastAsia="es-EC"/>
        </w:rPr>
      </w:pPr>
    </w:p>
    <w:p w14:paraId="7045BB7A" w14:textId="77777777" w:rsidR="009E31F5" w:rsidRDefault="009E31F5" w:rsidP="009E31F5">
      <w:pPr>
        <w:jc w:val="both"/>
        <w:rPr>
          <w:rFonts w:ascii="Arial" w:hAnsi="Arial" w:cs="Arial"/>
          <w:lang w:eastAsia="es-EC"/>
        </w:rPr>
      </w:pPr>
    </w:p>
    <w:p w14:paraId="413955B7" w14:textId="77777777" w:rsidR="009E31F5" w:rsidRDefault="009E31F5" w:rsidP="009E31F5">
      <w:pPr>
        <w:jc w:val="both"/>
        <w:rPr>
          <w:rFonts w:ascii="Arial" w:hAnsi="Arial" w:cs="Arial"/>
          <w:lang w:eastAsia="es-EC"/>
        </w:rPr>
      </w:pPr>
    </w:p>
    <w:p w14:paraId="6608FBCC" w14:textId="77777777" w:rsidR="009E31F5" w:rsidRDefault="009E31F5" w:rsidP="009E31F5">
      <w:pPr>
        <w:jc w:val="both"/>
        <w:rPr>
          <w:rFonts w:ascii="Arial" w:hAnsi="Arial" w:cs="Arial"/>
          <w:lang w:eastAsia="es-EC"/>
        </w:rPr>
      </w:pPr>
    </w:p>
    <w:p w14:paraId="734E5EBE" w14:textId="77777777" w:rsidR="009E31F5" w:rsidRDefault="009E31F5" w:rsidP="009E31F5">
      <w:pPr>
        <w:jc w:val="both"/>
        <w:rPr>
          <w:rFonts w:ascii="Arial" w:hAnsi="Arial" w:cs="Arial"/>
          <w:lang w:eastAsia="es-EC"/>
        </w:rPr>
      </w:pPr>
    </w:p>
    <w:p w14:paraId="09D836F3" w14:textId="01B0B64D" w:rsidR="007C62D7" w:rsidRPr="009E31F5" w:rsidRDefault="007C62D7" w:rsidP="009E31F5">
      <w:pPr>
        <w:jc w:val="both"/>
        <w:rPr>
          <w:rFonts w:ascii="Arial" w:hAnsi="Arial" w:cs="Arial"/>
          <w:lang w:eastAsia="es-EC"/>
        </w:rPr>
      </w:pPr>
      <w:r w:rsidRPr="009E31F5">
        <w:rPr>
          <w:rFonts w:ascii="Arial" w:hAnsi="Arial" w:cs="Arial"/>
          <w:lang w:eastAsia="es-EC"/>
        </w:rPr>
        <w:t>DISPOSICIÓN FINAL: La presente reforma entrará en vigencia a partir de su publicación en el Registro Oficial.</w:t>
      </w:r>
    </w:p>
    <w:p w14:paraId="46C0C472" w14:textId="77777777" w:rsidR="007C62D7" w:rsidRPr="009E31F5" w:rsidRDefault="007C62D7" w:rsidP="009E31F5">
      <w:pPr>
        <w:jc w:val="both"/>
        <w:rPr>
          <w:rFonts w:ascii="Arial" w:hAnsi="Arial" w:cs="Arial"/>
          <w:lang w:eastAsia="es-EC"/>
        </w:rPr>
      </w:pPr>
      <w:r w:rsidRPr="009E31F5">
        <w:rPr>
          <w:rFonts w:ascii="Arial" w:hAnsi="Arial" w:cs="Arial"/>
          <w:lang w:eastAsia="es-EC"/>
        </w:rPr>
        <w:t>Dado en la Sala de Sesiones del Gobierno Autónomo Descentralizado Municipal del Cantón La Joya de los Sachas, a los [fecha].</w:t>
      </w:r>
    </w:p>
    <w:p w14:paraId="0C1ECBCC" w14:textId="77777777" w:rsidR="00F8544D" w:rsidRPr="009E31F5" w:rsidRDefault="00F8544D" w:rsidP="009E31F5">
      <w:pPr>
        <w:jc w:val="both"/>
        <w:rPr>
          <w:rStyle w:val="nfasis"/>
          <w:rFonts w:ascii="Arial" w:hAnsi="Arial" w:cs="Arial"/>
          <w:i w:val="0"/>
          <w:color w:val="222222"/>
        </w:rPr>
      </w:pPr>
    </w:p>
    <w:p w14:paraId="0893F538" w14:textId="77777777" w:rsidR="00F8544D" w:rsidRPr="009E31F5" w:rsidRDefault="00F8544D" w:rsidP="009E31F5">
      <w:pPr>
        <w:jc w:val="both"/>
        <w:rPr>
          <w:rFonts w:ascii="Arial" w:hAnsi="Arial" w:cs="Arial"/>
          <w:color w:val="222222"/>
          <w:shd w:val="clear" w:color="auto" w:fill="FFFFFF"/>
        </w:rPr>
      </w:pPr>
    </w:p>
    <w:p w14:paraId="2F33160C" w14:textId="77777777" w:rsidR="00F8544D" w:rsidRPr="009E31F5" w:rsidRDefault="00F8544D" w:rsidP="009E31F5">
      <w:pPr>
        <w:jc w:val="both"/>
        <w:rPr>
          <w:rFonts w:ascii="Arial" w:hAnsi="Arial" w:cs="Arial"/>
          <w:color w:val="222222"/>
          <w:shd w:val="clear" w:color="auto" w:fill="FFFFFF"/>
        </w:rPr>
      </w:pPr>
    </w:p>
    <w:p w14:paraId="55E1A6BF" w14:textId="77777777" w:rsidR="00F8544D" w:rsidRPr="009E31F5" w:rsidRDefault="00F8544D" w:rsidP="009E31F5">
      <w:pPr>
        <w:jc w:val="both"/>
        <w:rPr>
          <w:rFonts w:ascii="Arial" w:hAnsi="Arial" w:cs="Arial"/>
          <w:color w:val="222222"/>
          <w:shd w:val="clear" w:color="auto" w:fill="FFFFFF"/>
        </w:rPr>
      </w:pPr>
    </w:p>
    <w:p w14:paraId="4CC6C5CD" w14:textId="77777777" w:rsidR="00F8544D" w:rsidRPr="009E31F5" w:rsidRDefault="00F8544D" w:rsidP="009E31F5">
      <w:pPr>
        <w:jc w:val="both"/>
        <w:rPr>
          <w:rFonts w:ascii="Arial" w:hAnsi="Arial" w:cs="Arial"/>
          <w:color w:val="222222"/>
          <w:shd w:val="clear" w:color="auto" w:fill="FFFFFF"/>
        </w:rPr>
      </w:pPr>
      <w:r w:rsidRPr="009E31F5">
        <w:rPr>
          <w:rStyle w:val="nfasis"/>
          <w:rFonts w:ascii="Arial" w:hAnsi="Arial" w:cs="Arial"/>
        </w:rPr>
        <w:t>”</w:t>
      </w:r>
    </w:p>
    <w:p w14:paraId="2C7F7DB9" w14:textId="77777777" w:rsidR="00F8544D" w:rsidRPr="009E31F5" w:rsidRDefault="00F8544D" w:rsidP="009E31F5">
      <w:pPr>
        <w:jc w:val="both"/>
        <w:rPr>
          <w:rFonts w:ascii="Arial" w:hAnsi="Arial" w:cs="Arial"/>
        </w:rPr>
      </w:pPr>
    </w:p>
    <w:p w14:paraId="486D7284" w14:textId="77777777" w:rsidR="009E31F5" w:rsidRPr="009E31F5" w:rsidRDefault="009E31F5">
      <w:pPr>
        <w:jc w:val="both"/>
        <w:rPr>
          <w:rFonts w:ascii="Arial" w:hAnsi="Arial" w:cs="Arial"/>
        </w:rPr>
      </w:pPr>
    </w:p>
    <w:sectPr w:rsidR="009E31F5" w:rsidRPr="009E31F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7D14AB"/>
    <w:multiLevelType w:val="multilevel"/>
    <w:tmpl w:val="30D4A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139545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44D"/>
    <w:rsid w:val="00004244"/>
    <w:rsid w:val="006F5DB4"/>
    <w:rsid w:val="007C62D7"/>
    <w:rsid w:val="009E31F5"/>
    <w:rsid w:val="00F8544D"/>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75249"/>
  <w15:chartTrackingRefBased/>
  <w15:docId w15:val="{A2126398-1D43-4DB3-8F5D-381C74EC5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C"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uiPriority w:val="20"/>
    <w:qFormat/>
    <w:rsid w:val="00F8544D"/>
    <w:rPr>
      <w:i/>
      <w:iCs/>
    </w:rPr>
  </w:style>
  <w:style w:type="paragraph" w:styleId="NormalWeb">
    <w:name w:val="Normal (Web)"/>
    <w:basedOn w:val="Normal"/>
    <w:uiPriority w:val="99"/>
    <w:semiHidden/>
    <w:unhideWhenUsed/>
    <w:rsid w:val="007C62D7"/>
    <w:pPr>
      <w:spacing w:before="100" w:beforeAutospacing="1" w:after="100" w:afterAutospacing="1" w:line="240" w:lineRule="auto"/>
    </w:pPr>
    <w:rPr>
      <w:rFonts w:ascii="Times New Roman" w:eastAsia="Times New Roman" w:hAnsi="Times New Roman" w:cs="Times New Roman"/>
      <w:kern w:val="0"/>
      <w:sz w:val="24"/>
      <w:szCs w:val="24"/>
      <w:lang w:eastAsia="es-EC"/>
      <w14:ligatures w14:val="none"/>
    </w:rPr>
  </w:style>
  <w:style w:type="character" w:customStyle="1" w:styleId="export-sheets-button">
    <w:name w:val="export-sheets-button"/>
    <w:basedOn w:val="Fuentedeprrafopredeter"/>
    <w:rsid w:val="007C62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440529">
      <w:bodyDiv w:val="1"/>
      <w:marLeft w:val="0"/>
      <w:marRight w:val="0"/>
      <w:marTop w:val="0"/>
      <w:marBottom w:val="0"/>
      <w:divBdr>
        <w:top w:val="none" w:sz="0" w:space="0" w:color="auto"/>
        <w:left w:val="none" w:sz="0" w:space="0" w:color="auto"/>
        <w:bottom w:val="none" w:sz="0" w:space="0" w:color="auto"/>
        <w:right w:val="none" w:sz="0" w:space="0" w:color="auto"/>
      </w:divBdr>
      <w:divsChild>
        <w:div w:id="1111314763">
          <w:marLeft w:val="0"/>
          <w:marRight w:val="0"/>
          <w:marTop w:val="0"/>
          <w:marBottom w:val="0"/>
          <w:divBdr>
            <w:top w:val="none" w:sz="0" w:space="0" w:color="auto"/>
            <w:left w:val="none" w:sz="0" w:space="0" w:color="auto"/>
            <w:bottom w:val="none" w:sz="0" w:space="0" w:color="auto"/>
            <w:right w:val="none" w:sz="0" w:space="0" w:color="auto"/>
          </w:divBdr>
          <w:divsChild>
            <w:div w:id="506406489">
              <w:marLeft w:val="0"/>
              <w:marRight w:val="0"/>
              <w:marTop w:val="0"/>
              <w:marBottom w:val="0"/>
              <w:divBdr>
                <w:top w:val="none" w:sz="0" w:space="0" w:color="auto"/>
                <w:left w:val="none" w:sz="0" w:space="0" w:color="auto"/>
                <w:bottom w:val="none" w:sz="0" w:space="0" w:color="auto"/>
                <w:right w:val="none" w:sz="0" w:space="0" w:color="auto"/>
              </w:divBdr>
              <w:divsChild>
                <w:div w:id="808329466">
                  <w:marLeft w:val="0"/>
                  <w:marRight w:val="0"/>
                  <w:marTop w:val="0"/>
                  <w:marBottom w:val="0"/>
                  <w:divBdr>
                    <w:top w:val="none" w:sz="0" w:space="0" w:color="auto"/>
                    <w:left w:val="none" w:sz="0" w:space="0" w:color="auto"/>
                    <w:bottom w:val="none" w:sz="0" w:space="0" w:color="auto"/>
                    <w:right w:val="none" w:sz="0" w:space="0" w:color="auto"/>
                  </w:divBdr>
                  <w:divsChild>
                    <w:div w:id="1211191746">
                      <w:marLeft w:val="0"/>
                      <w:marRight w:val="0"/>
                      <w:marTop w:val="0"/>
                      <w:marBottom w:val="0"/>
                      <w:divBdr>
                        <w:top w:val="none" w:sz="0" w:space="0" w:color="auto"/>
                        <w:left w:val="none" w:sz="0" w:space="0" w:color="auto"/>
                        <w:bottom w:val="none" w:sz="0" w:space="0" w:color="auto"/>
                        <w:right w:val="none" w:sz="0" w:space="0" w:color="auto"/>
                      </w:divBdr>
                    </w:div>
                    <w:div w:id="36668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517</Words>
  <Characters>2849</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Procurador</dc:creator>
  <cp:keywords/>
  <dc:description/>
  <cp:lastModifiedBy>Procurador</cp:lastModifiedBy>
  <cp:revision>2</cp:revision>
  <dcterms:created xsi:type="dcterms:W3CDTF">2025-09-04T00:19:00Z</dcterms:created>
  <dcterms:modified xsi:type="dcterms:W3CDTF">2025-09-10T21:47:00Z</dcterms:modified>
</cp:coreProperties>
</file>